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rPr>
      </w:pPr>
      <w:r>
        <w:rPr>
          <w:rFonts w:hint="eastAsia"/>
          <w:sz w:val="32"/>
        </w:rPr>
        <w:t>2</w:t>
      </w:r>
      <w:r>
        <w:rPr>
          <w:sz w:val="32"/>
        </w:rPr>
        <w:t>02</w:t>
      </w:r>
      <w:r>
        <w:rPr>
          <w:rFonts w:hint="eastAsia"/>
          <w:sz w:val="32"/>
        </w:rPr>
        <w:t>3</w:t>
      </w:r>
      <w:r>
        <w:rPr>
          <w:sz w:val="32"/>
        </w:rPr>
        <w:t>年市</w:t>
      </w:r>
      <w:r>
        <w:rPr>
          <w:rFonts w:hint="eastAsia"/>
          <w:sz w:val="32"/>
        </w:rPr>
        <w:t>科技</w:t>
      </w:r>
      <w:r>
        <w:rPr>
          <w:sz w:val="32"/>
        </w:rPr>
        <w:t>项目合同书签订</w:t>
      </w:r>
      <w:r>
        <w:rPr>
          <w:rFonts w:hint="eastAsia"/>
          <w:sz w:val="32"/>
        </w:rPr>
        <w:t>填报程序</w:t>
      </w:r>
    </w:p>
    <w:p>
      <w:pPr>
        <w:jc w:val="center"/>
        <w:rPr>
          <w:sz w:val="21"/>
        </w:rPr>
      </w:pPr>
    </w:p>
    <w:p>
      <w:pPr>
        <w:pStyle w:val="6"/>
        <w:spacing w:line="240" w:lineRule="exact"/>
        <w:jc w:val="left"/>
        <w:rPr>
          <w:sz w:val="21"/>
        </w:rPr>
      </w:pPr>
      <w:r>
        <w:rPr>
          <w:rFonts w:hint="eastAsia"/>
          <w:sz w:val="21"/>
        </w:rPr>
        <w:t>1.登入金华科技大脑（</w:t>
      </w:r>
      <w:r>
        <w:t>http://kjdn.</w:t>
      </w:r>
      <w:r>
        <w:rPr>
          <w:rFonts w:hint="eastAsia"/>
        </w:rPr>
        <w:t>kjj.</w:t>
      </w:r>
      <w:r>
        <w:t>jinhua.gov.cn/</w:t>
      </w:r>
      <w:r>
        <w:rPr>
          <w:rFonts w:hint="eastAsia"/>
          <w:sz w:val="21"/>
        </w:rPr>
        <w:t>），账</w:t>
      </w:r>
      <w:bookmarkStart w:id="0" w:name="_GoBack"/>
      <w:bookmarkEnd w:id="0"/>
      <w:r>
        <w:rPr>
          <w:rFonts w:hint="eastAsia"/>
          <w:sz w:val="21"/>
        </w:rPr>
        <w:t>号密码与政务网一致；</w:t>
      </w:r>
    </w:p>
    <w:p>
      <w:pPr>
        <w:spacing w:line="240" w:lineRule="exact"/>
        <w:jc w:val="left"/>
        <w:rPr>
          <w:sz w:val="21"/>
        </w:rPr>
      </w:pPr>
    </w:p>
    <w:p>
      <w:pPr>
        <w:pStyle w:val="6"/>
        <w:spacing w:line="240" w:lineRule="exact"/>
        <w:jc w:val="left"/>
        <w:rPr>
          <w:sz w:val="21"/>
        </w:rPr>
      </w:pPr>
      <w:r>
        <w:rPr>
          <w:rFonts w:hint="eastAsia"/>
          <w:sz w:val="21"/>
        </w:rPr>
        <w:t>2.点击个人登录进入后，再点击“</w:t>
      </w:r>
      <w:r>
        <w:rPr>
          <w:rFonts w:hint="eastAsia"/>
          <w:color w:val="FF0000"/>
          <w:sz w:val="21"/>
        </w:rPr>
        <w:t>我的事项</w:t>
      </w:r>
      <w:r>
        <w:rPr>
          <w:rFonts w:hint="eastAsia"/>
          <w:sz w:val="21"/>
        </w:rPr>
        <w:t>”；</w:t>
      </w:r>
    </w:p>
    <w:p>
      <w:pPr>
        <w:jc w:val="left"/>
        <w:rPr>
          <w:sz w:val="21"/>
        </w:rPr>
      </w:pPr>
      <w:r>
        <w:drawing>
          <wp:inline distT="0" distB="0" distL="0" distR="0">
            <wp:extent cx="5274310" cy="263080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4310" cy="2630805"/>
                    </a:xfrm>
                    <a:prstGeom prst="rect">
                      <a:avLst/>
                    </a:prstGeom>
                  </pic:spPr>
                </pic:pic>
              </a:graphicData>
            </a:graphic>
          </wp:inline>
        </w:drawing>
      </w:r>
    </w:p>
    <w:p>
      <w:pPr>
        <w:pStyle w:val="6"/>
        <w:rPr>
          <w:sz w:val="21"/>
        </w:rPr>
      </w:pPr>
      <w:r>
        <w:rPr>
          <w:rFonts w:hint="eastAsia"/>
          <w:sz w:val="21"/>
        </w:rPr>
        <w:t>3.点击待办事项中“事项名称”；</w:t>
      </w:r>
    </w:p>
    <w:p>
      <w:pPr>
        <w:rPr>
          <w:rFonts w:hint="default"/>
          <w:sz w:val="21"/>
          <w:lang w:val="en-US" w:eastAsia="zh-CN"/>
        </w:rPr>
      </w:pPr>
      <w:r>
        <w:drawing>
          <wp:inline distT="0" distB="0" distL="114300" distR="114300">
            <wp:extent cx="5269865" cy="1972945"/>
            <wp:effectExtent l="0" t="0" r="6985" b="825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69865" cy="1972945"/>
                    </a:xfrm>
                    <a:prstGeom prst="rect">
                      <a:avLst/>
                    </a:prstGeom>
                    <a:noFill/>
                    <a:ln>
                      <a:noFill/>
                    </a:ln>
                  </pic:spPr>
                </pic:pic>
              </a:graphicData>
            </a:graphic>
          </wp:inline>
        </w:drawing>
      </w:r>
    </w:p>
    <w:p>
      <w:pPr>
        <w:pStyle w:val="6"/>
        <w:numPr>
          <w:numId w:val="0"/>
        </w:numPr>
        <w:jc w:val="left"/>
        <w:rPr>
          <w:rFonts w:hint="default"/>
          <w:sz w:val="21"/>
          <w:lang w:val="en-US" w:eastAsia="zh-CN"/>
        </w:rPr>
      </w:pPr>
    </w:p>
    <w:p>
      <w:pPr>
        <w:pStyle w:val="6"/>
        <w:numPr>
          <w:numId w:val="0"/>
        </w:numPr>
        <w:jc w:val="left"/>
        <w:rPr>
          <w:rFonts w:hint="eastAsia"/>
          <w:sz w:val="21"/>
          <w:lang w:val="en-US" w:eastAsia="zh-CN"/>
        </w:rPr>
      </w:pPr>
      <w:r>
        <w:rPr>
          <w:rFonts w:hint="eastAsia"/>
          <w:sz w:val="21"/>
          <w:lang w:val="en-US" w:eastAsia="zh-CN"/>
        </w:rPr>
        <w:t>浙江师范大学系统填报：</w:t>
      </w:r>
    </w:p>
    <w:p>
      <w:pPr>
        <w:pStyle w:val="6"/>
        <w:numPr>
          <w:numId w:val="0"/>
        </w:numPr>
        <w:jc w:val="left"/>
      </w:pPr>
      <w:r>
        <w:drawing>
          <wp:inline distT="0" distB="0" distL="114300" distR="114300">
            <wp:extent cx="5271770" cy="3280410"/>
            <wp:effectExtent l="0" t="0" r="5080" b="15240"/>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6"/>
                    <a:stretch>
                      <a:fillRect/>
                    </a:stretch>
                  </pic:blipFill>
                  <pic:spPr>
                    <a:xfrm>
                      <a:off x="0" y="0"/>
                      <a:ext cx="5271770" cy="3280410"/>
                    </a:xfrm>
                    <a:prstGeom prst="rect">
                      <a:avLst/>
                    </a:prstGeom>
                    <a:noFill/>
                    <a:ln>
                      <a:noFill/>
                    </a:ln>
                  </pic:spPr>
                </pic:pic>
              </a:graphicData>
            </a:graphic>
          </wp:inline>
        </w:drawing>
      </w:r>
    </w:p>
    <w:p>
      <w:pPr>
        <w:pStyle w:val="6"/>
        <w:numPr>
          <w:numId w:val="0"/>
        </w:numPr>
        <w:jc w:val="left"/>
      </w:pPr>
      <w:r>
        <w:drawing>
          <wp:inline distT="0" distB="0" distL="114300" distR="114300">
            <wp:extent cx="5273040" cy="2985770"/>
            <wp:effectExtent l="0" t="0" r="3810" b="5080"/>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7"/>
                    <a:stretch>
                      <a:fillRect/>
                    </a:stretch>
                  </pic:blipFill>
                  <pic:spPr>
                    <a:xfrm>
                      <a:off x="0" y="0"/>
                      <a:ext cx="5273040" cy="2985770"/>
                    </a:xfrm>
                    <a:prstGeom prst="rect">
                      <a:avLst/>
                    </a:prstGeom>
                    <a:noFill/>
                    <a:ln>
                      <a:noFill/>
                    </a:ln>
                  </pic:spPr>
                </pic:pic>
              </a:graphicData>
            </a:graphic>
          </wp:inline>
        </w:drawing>
      </w:r>
      <w:r>
        <w:drawing>
          <wp:inline distT="0" distB="0" distL="114300" distR="114300">
            <wp:extent cx="5264785" cy="2938145"/>
            <wp:effectExtent l="0" t="0" r="12065" b="14605"/>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8"/>
                    <a:stretch>
                      <a:fillRect/>
                    </a:stretch>
                  </pic:blipFill>
                  <pic:spPr>
                    <a:xfrm>
                      <a:off x="0" y="0"/>
                      <a:ext cx="5264785" cy="2938145"/>
                    </a:xfrm>
                    <a:prstGeom prst="rect">
                      <a:avLst/>
                    </a:prstGeom>
                    <a:noFill/>
                    <a:ln>
                      <a:noFill/>
                    </a:ln>
                  </pic:spPr>
                </pic:pic>
              </a:graphicData>
            </a:graphic>
          </wp:inline>
        </w:drawing>
      </w:r>
      <w:r>
        <w:drawing>
          <wp:inline distT="0" distB="0" distL="114300" distR="114300">
            <wp:extent cx="5269865" cy="3228340"/>
            <wp:effectExtent l="0" t="0" r="6985" b="10160"/>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pic:cNvPicPr>
                      <a:picLocks noChangeAspect="1"/>
                    </pic:cNvPicPr>
                  </pic:nvPicPr>
                  <pic:blipFill>
                    <a:blip r:embed="rId9"/>
                    <a:stretch>
                      <a:fillRect/>
                    </a:stretch>
                  </pic:blipFill>
                  <pic:spPr>
                    <a:xfrm>
                      <a:off x="0" y="0"/>
                      <a:ext cx="5269865" cy="3228340"/>
                    </a:xfrm>
                    <a:prstGeom prst="rect">
                      <a:avLst/>
                    </a:prstGeom>
                    <a:noFill/>
                    <a:ln>
                      <a:noFill/>
                    </a:ln>
                  </pic:spPr>
                </pic:pic>
              </a:graphicData>
            </a:graphic>
          </wp:inline>
        </w:drawing>
      </w:r>
      <w:r>
        <w:drawing>
          <wp:inline distT="0" distB="0" distL="114300" distR="114300">
            <wp:extent cx="5274310" cy="3895725"/>
            <wp:effectExtent l="0" t="0" r="2540" b="9525"/>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10"/>
                    <a:stretch>
                      <a:fillRect/>
                    </a:stretch>
                  </pic:blipFill>
                  <pic:spPr>
                    <a:xfrm>
                      <a:off x="0" y="0"/>
                      <a:ext cx="5274310" cy="3895725"/>
                    </a:xfrm>
                    <a:prstGeom prst="rect">
                      <a:avLst/>
                    </a:prstGeom>
                    <a:noFill/>
                    <a:ln>
                      <a:noFill/>
                    </a:ln>
                  </pic:spPr>
                </pic:pic>
              </a:graphicData>
            </a:graphic>
          </wp:inline>
        </w:drawing>
      </w:r>
    </w:p>
    <w:p>
      <w:pPr>
        <w:pStyle w:val="6"/>
        <w:jc w:val="left"/>
        <w:rPr>
          <w:rFonts w:hint="default"/>
          <w:sz w:val="21"/>
          <w:lang w:val="en-US" w:eastAsia="zh-CN"/>
        </w:rPr>
      </w:pPr>
      <w:r>
        <w:rPr>
          <w:rFonts w:hint="eastAsia"/>
          <w:sz w:val="21"/>
          <w:lang w:val="en-US" w:eastAsia="zh-CN"/>
        </w:rPr>
        <w:t>4、</w:t>
      </w:r>
      <w:r>
        <w:rPr>
          <w:rFonts w:hint="eastAsia"/>
          <w:sz w:val="21"/>
        </w:rPr>
        <w:t>请认真仔细根据内容必填项填写，并注意合同内容前后逻辑性、真实合理性和严肃性。如有区财政资金的，区科技局作为委托单位甲方2，双方确认的财政科技经费用途科目项要与项目经费支出预算中开支科目一致，有单位配套和自筹资金的，到位进度栏要求必填资金配套到位时间(市财政资金到位时间公益类项目填写2023年11月，</w:t>
      </w:r>
      <w:r>
        <w:rPr>
          <w:rFonts w:hint="eastAsia"/>
          <w:sz w:val="21"/>
          <w:lang w:eastAsia="zh-CN"/>
        </w:rPr>
        <w:t>主动设计和</w:t>
      </w:r>
      <w:r>
        <w:rPr>
          <w:rFonts w:hint="eastAsia"/>
          <w:sz w:val="21"/>
        </w:rPr>
        <w:t>重大重点项目填写2024年1月，区财政资金到位时间和自筹资金计划到位时间按实际到位时间填写）。请务必核对项目名称、财政资金、项目编号等，要求与项目及资金下达文件一致（如不一致请修改）。成果形式如：申请或获得专利、发表论文数、人才培养、参与行业及国家标准制定等情况，必须要在项目主要内容和目标栏技术指标中表述，公益性项目的成果形式需要有发表论文。</w:t>
      </w:r>
      <w:r>
        <w:rPr>
          <w:rFonts w:hint="eastAsia"/>
          <w:sz w:val="21"/>
          <w:lang w:eastAsia="zh-CN"/>
        </w:rPr>
        <w:t>主动设计项目按主动设计项目合同填报。</w:t>
      </w:r>
    </w:p>
    <w:p>
      <w:pPr>
        <w:pStyle w:val="6"/>
        <w:jc w:val="left"/>
        <w:rPr>
          <w:sz w:val="21"/>
        </w:rPr>
      </w:pPr>
      <w:r>
        <w:rPr>
          <w:rFonts w:hint="eastAsia"/>
          <w:sz w:val="21"/>
        </w:rPr>
        <w:t>5</w:t>
      </w:r>
      <w:r>
        <w:rPr>
          <w:rFonts w:hint="eastAsia"/>
          <w:sz w:val="21"/>
          <w:lang w:eastAsia="zh-CN"/>
        </w:rPr>
        <w:t>、</w:t>
      </w:r>
      <w:r>
        <w:rPr>
          <w:rFonts w:hint="eastAsia"/>
          <w:sz w:val="21"/>
        </w:rPr>
        <w:t>归口管理部门管理员登录程序：登入金华科技大脑（</w:t>
      </w:r>
      <w:r>
        <w:rPr>
          <w:sz w:val="21"/>
        </w:rPr>
        <w:t>http://kjdn.</w:t>
      </w:r>
      <w:r>
        <w:rPr>
          <w:rFonts w:hint="eastAsia"/>
          <w:sz w:val="21"/>
        </w:rPr>
        <w:t>kjj.</w:t>
      </w:r>
      <w:r>
        <w:rPr>
          <w:sz w:val="21"/>
        </w:rPr>
        <w:t>jinhua.gov.cn/</w:t>
      </w:r>
      <w:r>
        <w:rPr>
          <w:rFonts w:hint="eastAsia"/>
          <w:sz w:val="21"/>
        </w:rPr>
        <w:t>），点击管理后台进入，录入登入账号密码进入后，点击企业事项管理（在屏幕左侧）-科技项目管理-项目合同审定，再点击待审核事项，对合同书的全部填写内容审核后（上述第4点要求的内容重点审核），选择上级管理部门提交。</w:t>
      </w:r>
    </w:p>
    <w:p>
      <w:pPr>
        <w:pStyle w:val="6"/>
        <w:jc w:val="left"/>
        <w:rPr>
          <w:rFonts w:hint="eastAsia"/>
          <w:sz w:val="21"/>
        </w:rPr>
      </w:pPr>
      <w:r>
        <w:rPr>
          <w:rFonts w:hint="eastAsia"/>
          <w:sz w:val="21"/>
        </w:rPr>
        <w:t>6</w:t>
      </w:r>
      <w:r>
        <w:rPr>
          <w:rFonts w:hint="eastAsia"/>
          <w:sz w:val="21"/>
          <w:lang w:eastAsia="zh-CN"/>
        </w:rPr>
        <w:t>、</w:t>
      </w:r>
      <w:r>
        <w:rPr>
          <w:rFonts w:hint="eastAsia"/>
          <w:sz w:val="21"/>
        </w:rPr>
        <w:t>下载打印：市科技局审核完成后，项目承担单位或项目负责人进入系统，在已办事项点开已通过状态下的合同，点最下方下载，按要求双面打印一式两份，合同双方签订后，各持一份；如合同涉及区科技财政的，按要求双面打印一式三份，合同双方签订后，市、区科技局及承担单位各一份。如未按上述要求内容填写的合同和未按要求双面打印报送的，将会退回重新修改。双方签订合同后，项目承担单位务必需将合同书（双方均盖过章）PDF格式通过系统上传，作为项目验收依据，未上传的将无法进行验收。</w:t>
      </w:r>
    </w:p>
    <w:p>
      <w:pPr>
        <w:pStyle w:val="6"/>
        <w:jc w:val="left"/>
        <w:rPr>
          <w:rFonts w:hint="eastAsia"/>
          <w:sz w:val="21"/>
        </w:rPr>
      </w:pPr>
    </w:p>
    <w:p>
      <w:pPr>
        <w:pStyle w:val="6"/>
        <w:jc w:val="left"/>
        <w:rPr>
          <w:rFonts w:hint="default" w:eastAsia="宋体"/>
          <w:sz w:val="21"/>
          <w:lang w:val="en-US" w:eastAsia="zh-CN"/>
        </w:rPr>
      </w:pPr>
      <w:r>
        <w:rPr>
          <w:rFonts w:hint="eastAsia"/>
          <w:sz w:val="21"/>
          <w:lang w:val="en-US" w:eastAsia="zh-CN"/>
        </w:rPr>
        <w:t>7、合同回传入口</w:t>
      </w:r>
    </w:p>
    <w:p>
      <w:pPr>
        <w:pStyle w:val="6"/>
        <w:ind w:left="0" w:leftChars="0" w:firstLine="0" w:firstLineChars="0"/>
        <w:jc w:val="left"/>
        <w:rPr>
          <w:rFonts w:hint="eastAsia"/>
          <w:sz w:val="21"/>
        </w:rPr>
      </w:pPr>
    </w:p>
    <w:p>
      <w:pPr>
        <w:pStyle w:val="6"/>
        <w:numPr>
          <w:numId w:val="0"/>
        </w:numPr>
        <w:jc w:val="left"/>
        <w:rPr>
          <w:rFonts w:hint="default"/>
          <w:lang w:val="en-US" w:eastAsia="zh-CN"/>
        </w:rPr>
      </w:pPr>
      <w:r>
        <w:rPr>
          <w:rFonts w:hint="default"/>
          <w:sz w:val="21"/>
        </w:rPr>
        <w:drawing>
          <wp:inline distT="0" distB="0" distL="114300" distR="114300">
            <wp:extent cx="4364355" cy="1588770"/>
            <wp:effectExtent l="0" t="0" r="17145" b="1143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4364355" cy="1588770"/>
                    </a:xfrm>
                    <a:prstGeom prst="rect">
                      <a:avLst/>
                    </a:prstGeom>
                  </pic:spPr>
                </pic:pic>
              </a:graphicData>
            </a:graphic>
          </wp:inline>
        </w:drawing>
      </w:r>
    </w:p>
    <w:sectPr>
      <w:pgSz w:w="11906" w:h="16838"/>
      <w:pgMar w:top="703" w:right="1800" w:bottom="59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hMGM0ZTM3OGZjMjc1M2IyZTdjNjg3MzJlZGI3NjUifQ=="/>
  </w:docVars>
  <w:rsids>
    <w:rsidRoot w:val="00BF3DF0"/>
    <w:rsid w:val="005418A3"/>
    <w:rsid w:val="006D61BB"/>
    <w:rsid w:val="009A79AD"/>
    <w:rsid w:val="00BF3DF0"/>
    <w:rsid w:val="00F239BD"/>
    <w:rsid w:val="13FB4AB5"/>
    <w:rsid w:val="16BE7F21"/>
    <w:rsid w:val="16F6890E"/>
    <w:rsid w:val="1ACC57B4"/>
    <w:rsid w:val="20D740D4"/>
    <w:rsid w:val="23FFBC58"/>
    <w:rsid w:val="2DC64344"/>
    <w:rsid w:val="2F4FD470"/>
    <w:rsid w:val="2F7F4C4A"/>
    <w:rsid w:val="36FF7D18"/>
    <w:rsid w:val="374BA3D9"/>
    <w:rsid w:val="3BBFBAD7"/>
    <w:rsid w:val="3DD6F794"/>
    <w:rsid w:val="3F3B5700"/>
    <w:rsid w:val="3FEB884D"/>
    <w:rsid w:val="4BD721D7"/>
    <w:rsid w:val="4E7B5928"/>
    <w:rsid w:val="53BED1E9"/>
    <w:rsid w:val="53D792C4"/>
    <w:rsid w:val="55195C7C"/>
    <w:rsid w:val="57FFEA3D"/>
    <w:rsid w:val="5AFF610D"/>
    <w:rsid w:val="5BEECECD"/>
    <w:rsid w:val="5DFCF6BF"/>
    <w:rsid w:val="5F2FC391"/>
    <w:rsid w:val="5F57ACF9"/>
    <w:rsid w:val="5FCD6D71"/>
    <w:rsid w:val="61EF9EAD"/>
    <w:rsid w:val="667A7C3E"/>
    <w:rsid w:val="667B3274"/>
    <w:rsid w:val="67020DCE"/>
    <w:rsid w:val="6AF9FE8A"/>
    <w:rsid w:val="6BF918D0"/>
    <w:rsid w:val="6DC50C2F"/>
    <w:rsid w:val="6DE366BD"/>
    <w:rsid w:val="6DE6F848"/>
    <w:rsid w:val="6EB710FC"/>
    <w:rsid w:val="6FADB7D8"/>
    <w:rsid w:val="6FB78039"/>
    <w:rsid w:val="6FBF1AA4"/>
    <w:rsid w:val="71F76944"/>
    <w:rsid w:val="72DD997C"/>
    <w:rsid w:val="7657A50B"/>
    <w:rsid w:val="76B72F18"/>
    <w:rsid w:val="77DF9F69"/>
    <w:rsid w:val="77E3B586"/>
    <w:rsid w:val="77EF327A"/>
    <w:rsid w:val="77F5862A"/>
    <w:rsid w:val="77F7A29F"/>
    <w:rsid w:val="785DD9DA"/>
    <w:rsid w:val="79F991EE"/>
    <w:rsid w:val="7AF6B309"/>
    <w:rsid w:val="7B7B9A7A"/>
    <w:rsid w:val="7BDBC717"/>
    <w:rsid w:val="7BEF7017"/>
    <w:rsid w:val="7BFBBBFA"/>
    <w:rsid w:val="7C77B318"/>
    <w:rsid w:val="7CF7B1CA"/>
    <w:rsid w:val="7D4FDBA7"/>
    <w:rsid w:val="7D6F402C"/>
    <w:rsid w:val="7DDF4EFD"/>
    <w:rsid w:val="7DF986D7"/>
    <w:rsid w:val="7DFB36EA"/>
    <w:rsid w:val="7DFF6D1D"/>
    <w:rsid w:val="7E5EED45"/>
    <w:rsid w:val="7EE544D5"/>
    <w:rsid w:val="7F674C89"/>
    <w:rsid w:val="7F954563"/>
    <w:rsid w:val="7F97E09D"/>
    <w:rsid w:val="7FBB33B9"/>
    <w:rsid w:val="7FBE58C8"/>
    <w:rsid w:val="7FCDACC0"/>
    <w:rsid w:val="7FDF0948"/>
    <w:rsid w:val="7FDF5028"/>
    <w:rsid w:val="7FE76E2C"/>
    <w:rsid w:val="7FF1F5F5"/>
    <w:rsid w:val="7FF2D193"/>
    <w:rsid w:val="7FFBBBA9"/>
    <w:rsid w:val="7FFFF339"/>
    <w:rsid w:val="7FFFF850"/>
    <w:rsid w:val="8EFF340F"/>
    <w:rsid w:val="9BFA8985"/>
    <w:rsid w:val="9D378A50"/>
    <w:rsid w:val="9FFE4899"/>
    <w:rsid w:val="A5F7E48E"/>
    <w:rsid w:val="A75F96FE"/>
    <w:rsid w:val="AF7750EC"/>
    <w:rsid w:val="B7F7D952"/>
    <w:rsid w:val="BAEFE3E8"/>
    <w:rsid w:val="BB9B7637"/>
    <w:rsid w:val="BE0B4FDF"/>
    <w:rsid w:val="BFD80BF5"/>
    <w:rsid w:val="BFEC8F4A"/>
    <w:rsid w:val="BFFF0D00"/>
    <w:rsid w:val="CFBF429A"/>
    <w:rsid w:val="CFFF350F"/>
    <w:rsid w:val="D3CBF235"/>
    <w:rsid w:val="D7D6EA2B"/>
    <w:rsid w:val="DBBFF6CD"/>
    <w:rsid w:val="DDFFB586"/>
    <w:rsid w:val="DFFF3B00"/>
    <w:rsid w:val="E5FE6157"/>
    <w:rsid w:val="E6FF64A7"/>
    <w:rsid w:val="E7F744EF"/>
    <w:rsid w:val="E7FF5277"/>
    <w:rsid w:val="E7FFB393"/>
    <w:rsid w:val="EB5F83DC"/>
    <w:rsid w:val="ECFBC696"/>
    <w:rsid w:val="EEEF8989"/>
    <w:rsid w:val="EF149817"/>
    <w:rsid w:val="F14555DB"/>
    <w:rsid w:val="F3FA7C1D"/>
    <w:rsid w:val="F3FAF41A"/>
    <w:rsid w:val="F4DF2D14"/>
    <w:rsid w:val="F4FA9728"/>
    <w:rsid w:val="F57227B1"/>
    <w:rsid w:val="F57F7D57"/>
    <w:rsid w:val="F6DFAA10"/>
    <w:rsid w:val="F6ED8E7E"/>
    <w:rsid w:val="F7EB78F5"/>
    <w:rsid w:val="F7F7C242"/>
    <w:rsid w:val="F7FEBD48"/>
    <w:rsid w:val="FB773EBD"/>
    <w:rsid w:val="FB8597B0"/>
    <w:rsid w:val="FB98496E"/>
    <w:rsid w:val="FCF693F6"/>
    <w:rsid w:val="FDD97AE3"/>
    <w:rsid w:val="FDF45523"/>
    <w:rsid w:val="FDFB461A"/>
    <w:rsid w:val="FEB76512"/>
    <w:rsid w:val="FEFB4F15"/>
    <w:rsid w:val="FF0FEF63"/>
    <w:rsid w:val="FF7B191B"/>
    <w:rsid w:val="FF8D9678"/>
    <w:rsid w:val="FFF731C3"/>
    <w:rsid w:val="FFFF712B"/>
    <w:rsid w:val="FFFFBFF1"/>
    <w:rsid w:val="FFFFD80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00" w:themeColor="text1"/>
      <w:kern w:val="2"/>
      <w:lang w:val="en-US" w:eastAsia="zh-CN" w:bidi="ar-SA"/>
      <w14:textFill>
        <w14:solidFill>
          <w14:schemeClr w14:val="tx1"/>
        </w14:solidFill>
      </w14:textFil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character" w:styleId="5">
    <w:name w:val="Hyperlink"/>
    <w:basedOn w:val="4"/>
    <w:semiHidden/>
    <w:unhideWhenUsed/>
    <w:qFormat/>
    <w:uiPriority w:val="99"/>
    <w:rPr>
      <w:color w:val="0000FF"/>
      <w:u w:val="single"/>
    </w:rPr>
  </w:style>
  <w:style w:type="paragraph" w:styleId="6">
    <w:name w:val="List Paragraph"/>
    <w:basedOn w:val="1"/>
    <w:qFormat/>
    <w:uiPriority w:val="34"/>
    <w:pPr>
      <w:ind w:firstLine="420" w:firstLineChars="200"/>
    </w:pPr>
  </w:style>
  <w:style w:type="character" w:customStyle="1" w:styleId="7">
    <w:name w:val="批注框文本 Char"/>
    <w:basedOn w:val="4"/>
    <w:link w:val="2"/>
    <w:semiHidden/>
    <w:qFormat/>
    <w:uiPriority w:val="99"/>
    <w:rPr>
      <w:color w:val="000000" w:themeColor="text1"/>
      <w:kern w:val="2"/>
      <w:sz w:val="18"/>
      <w:szCs w:val="18"/>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124</Words>
  <Characters>711</Characters>
  <Lines>5</Lines>
  <Paragraphs>1</Paragraphs>
  <TotalTime>25</TotalTime>
  <ScaleCrop>false</ScaleCrop>
  <LinksUpToDate>false</LinksUpToDate>
  <CharactersWithSpaces>834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2023-11-29T07:00:00Z</dcterms:created>
  <dc:creator>方 金勇</dc:creator>
  <cp:lastModifiedBy>企业用户_311123562</cp:lastModifiedBy>
  <cp:lastPrinted>2022-10-01T01:02:00Z</cp:lastPrinted>
  <dcterms:modified xsi:type="dcterms:W3CDTF">2023-12-07T07:46:57Z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0A12B1B76488404E9560F815C189469F_12</vt:lpwstr>
  </property>
</Properties>
</file>