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F312E">
      <w:pPr>
        <w:jc w:val="center"/>
        <w:rPr>
          <w:rStyle w:val="4"/>
          <w:rFonts w:eastAsia="方正小标宋简体"/>
          <w:bCs w:val="0"/>
          <w:color w:val="auto"/>
          <w:sz w:val="36"/>
          <w:szCs w:val="36"/>
        </w:rPr>
      </w:pPr>
      <w:r>
        <w:rPr>
          <w:rStyle w:val="4"/>
          <w:rFonts w:eastAsia="方正小标宋简体"/>
          <w:b w:val="0"/>
          <w:color w:val="auto"/>
          <w:sz w:val="36"/>
          <w:szCs w:val="36"/>
        </w:rPr>
        <w:t>浙江省科学技术奖公示信息表</w:t>
      </w:r>
      <w:r>
        <w:rPr>
          <w:rStyle w:val="4"/>
          <w:rFonts w:eastAsia="仿宋_GB2312"/>
          <w:b w:val="0"/>
          <w:color w:val="auto"/>
          <w:sz w:val="32"/>
          <w:szCs w:val="32"/>
        </w:rPr>
        <w:t>（单位提名）</w:t>
      </w:r>
    </w:p>
    <w:p w14:paraId="6009BA72">
      <w:pPr>
        <w:spacing w:line="440" w:lineRule="exact"/>
        <w:rPr>
          <w:rFonts w:eastAsia="仿宋_GB2312"/>
          <w:sz w:val="28"/>
          <w:szCs w:val="24"/>
        </w:rPr>
      </w:pPr>
      <w:r>
        <w:rPr>
          <w:rFonts w:eastAsia="仿宋_GB2312"/>
          <w:sz w:val="28"/>
          <w:szCs w:val="24"/>
        </w:rPr>
        <w:t>提名奖项：科学技术进步奖</w:t>
      </w:r>
    </w:p>
    <w:tbl>
      <w:tblPr>
        <w:tblStyle w:val="2"/>
        <w:tblW w:w="8506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6237"/>
      </w:tblGrid>
      <w:tr w14:paraId="5EF4D2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269" w:type="dxa"/>
            <w:vAlign w:val="center"/>
          </w:tcPr>
          <w:p w14:paraId="04EF8BBF">
            <w:pPr>
              <w:jc w:val="center"/>
              <w:rPr>
                <w:rStyle w:val="4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4"/>
                <w:rFonts w:eastAsia="仿宋_GB2312"/>
                <w:b w:val="0"/>
                <w:bCs w:val="0"/>
                <w:color w:val="auto"/>
                <w:sz w:val="28"/>
              </w:rPr>
              <w:t>成果名称</w:t>
            </w:r>
          </w:p>
        </w:tc>
        <w:tc>
          <w:tcPr>
            <w:tcW w:w="6237" w:type="dxa"/>
            <w:vAlign w:val="center"/>
          </w:tcPr>
          <w:p w14:paraId="72D77164">
            <w:pPr>
              <w:jc w:val="center"/>
              <w:rPr>
                <w:rStyle w:val="4"/>
                <w:rFonts w:eastAsia="仿宋_GB2312"/>
                <w:b w:val="0"/>
                <w:color w:val="auto"/>
                <w:sz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面向特种作业机器人的具身智能感规控一体化关键技术及产业应用</w:t>
            </w:r>
          </w:p>
        </w:tc>
      </w:tr>
      <w:tr w14:paraId="6F030B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69" w:type="dxa"/>
            <w:vAlign w:val="center"/>
          </w:tcPr>
          <w:p w14:paraId="69FA51B8">
            <w:pPr>
              <w:jc w:val="center"/>
              <w:rPr>
                <w:rStyle w:val="4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4"/>
                <w:rFonts w:eastAsia="仿宋_GB2312"/>
                <w:b w:val="0"/>
                <w:bCs w:val="0"/>
                <w:color w:val="auto"/>
                <w:sz w:val="28"/>
              </w:rPr>
              <w:t>提名等级</w:t>
            </w:r>
          </w:p>
        </w:tc>
        <w:tc>
          <w:tcPr>
            <w:tcW w:w="6237" w:type="dxa"/>
            <w:vAlign w:val="center"/>
          </w:tcPr>
          <w:p w14:paraId="106066EC">
            <w:pPr>
              <w:jc w:val="center"/>
              <w:rPr>
                <w:rStyle w:val="4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4"/>
                <w:rFonts w:hint="eastAsia" w:eastAsia="仿宋_GB2312"/>
                <w:b w:val="0"/>
                <w:color w:val="auto"/>
                <w:sz w:val="28"/>
                <w:lang w:val="en-US" w:eastAsia="zh-CN"/>
              </w:rPr>
              <w:t>一等奖</w:t>
            </w:r>
          </w:p>
        </w:tc>
      </w:tr>
      <w:tr w14:paraId="1C484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2269" w:type="dxa"/>
            <w:vAlign w:val="center"/>
          </w:tcPr>
          <w:p w14:paraId="1DB808AB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提名书</w:t>
            </w:r>
          </w:p>
          <w:p w14:paraId="61203C30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相关内容</w:t>
            </w:r>
          </w:p>
        </w:tc>
        <w:tc>
          <w:tcPr>
            <w:tcW w:w="6237" w:type="dxa"/>
            <w:vAlign w:val="center"/>
          </w:tcPr>
          <w:p w14:paraId="706D9962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1. 授权发明专利：一种基于拓扑地图的无人车规划控制方法，ZL201611010870.2，浙江大学。</w:t>
            </w:r>
          </w:p>
          <w:p w14:paraId="574A70AB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 授权发明专利：一种移动机械臂的运动规划方法和装置，ZL201810765345.4，杭州电子科技大学。</w:t>
            </w:r>
          </w:p>
          <w:p w14:paraId="67181A17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3. 授权发明专利：一种基于深度学习的视觉全局位置识别和定位方法，ZL202511833839.8，浙江大学。</w:t>
            </w:r>
          </w:p>
          <w:p w14:paraId="2FA8D83D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4. 授权发明专利：基于导纳算法的机器人奇异点控制方法及系统，ZL202511563732.6，杭州景业智能科技股份有限公司。</w:t>
            </w:r>
          </w:p>
          <w:p w14:paraId="1F3AFC9D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5. 授权发明专利：一种基于特征表示分解和鸟瞰图融合的语义场景补全方法，ZL202310562753.0，浙江大学。</w:t>
            </w:r>
          </w:p>
          <w:p w14:paraId="4638314A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6. 授权发明专利：用于进行时钟再同步的方法、设备和存储介质，ZL202211362890.1，浙江国利信安科技有限公司。</w:t>
            </w:r>
          </w:p>
          <w:p w14:paraId="7F37823E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7. 授权发明专利：核工业抓取设备的位姿补偿方法、系统和电子装置，ZL202110748887.2，杭州景业智能科技股份有限公司。</w:t>
            </w:r>
          </w:p>
          <w:p w14:paraId="003FEE7F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8. 授权发明专利：一种基于局部视野的多智能体编队规划方法，ZL202011603955.8，浙江大学。</w:t>
            </w:r>
          </w:p>
          <w:p w14:paraId="7FF016AF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9. 学术论文：Ying Kong, Xuxiang Zeng, Yunliang Jiang, Danfeng Sun. A predefined time fuzzy neural solution with event-triggered mechanism to kinematic planning of manipulator with physical constraints. IEEE Transactions on Fuzzy Systems, 2024, 32(12): 6990-7001.</w:t>
            </w:r>
          </w:p>
          <w:p w14:paraId="658F42F6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10. 学术论文：Shanqi Liu, Weiwei Liu, Wenzhou Chen, Guanzhong Tian, Jun Chen, Yao Tong, Junjie Cao, Yong Liu. Learning Multi-Agent Cooperation via Considering Actions of Teammates. IEEE Transactions on Neural Networks and Learning Systems, 2024, 35(8): 11553-11564.</w:t>
            </w:r>
          </w:p>
        </w:tc>
      </w:tr>
      <w:tr w14:paraId="43945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</w:trPr>
        <w:tc>
          <w:tcPr>
            <w:tcW w:w="2269" w:type="dxa"/>
            <w:tcBorders>
              <w:right w:val="single" w:color="auto" w:sz="4" w:space="0"/>
            </w:tcBorders>
            <w:vAlign w:val="center"/>
          </w:tcPr>
          <w:p w14:paraId="13E65CE1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主要完成人</w:t>
            </w:r>
          </w:p>
        </w:tc>
        <w:tc>
          <w:tcPr>
            <w:tcW w:w="6237" w:type="dxa"/>
            <w:tcBorders>
              <w:left w:val="single" w:color="auto" w:sz="4" w:space="0"/>
            </w:tcBorders>
            <w:vAlign w:val="center"/>
          </w:tcPr>
          <w:p w14:paraId="42775BAA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刘勇，1，教授，浙江大学；</w:t>
            </w:r>
          </w:p>
          <w:p w14:paraId="046AB5D7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邬惠峰，2，教授，杭州电子科技大学；</w:t>
            </w:r>
          </w:p>
          <w:p w14:paraId="7ACFF70B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蒋云良，3，教授，浙江师范大学；</w:t>
            </w:r>
          </w:p>
          <w:p w14:paraId="0B3D8A48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吕佳俊，4，中级，浙江大学；</w:t>
            </w:r>
          </w:p>
          <w:p w14:paraId="3127E50A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张江宁，5，副高，浙江大学；</w:t>
            </w:r>
          </w:p>
          <w:p w14:paraId="64C413B4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陈稳舟，6，讲师，杭州电子科技大学；</w:t>
            </w:r>
          </w:p>
          <w:p w14:paraId="33550486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朱宝昌，7，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正</w:t>
            </w:r>
            <w:bookmarkStart w:id="0" w:name="_GoBack"/>
            <w:bookmarkEnd w:id="0"/>
            <w:r>
              <w:rPr>
                <w:rFonts w:hint="eastAsia" w:eastAsia="仿宋_GB2312"/>
                <w:bCs/>
                <w:sz w:val="24"/>
                <w:szCs w:val="24"/>
              </w:rPr>
              <w:t>高级工程师，诺力智能装备股份有限公司；</w:t>
            </w:r>
          </w:p>
          <w:p w14:paraId="405AEEFB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章逸丰，8，正高级工程师，杭州景业智能科技股份有限公司；</w:t>
            </w:r>
          </w:p>
          <w:p w14:paraId="084867B0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朱宗志，9，正高级工程师，浙江国利信安科技有限公司；</w:t>
            </w:r>
          </w:p>
          <w:p w14:paraId="36696941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梅亚泽，10，高级工程师，诺力智能装备股份有限公司；</w:t>
            </w:r>
          </w:p>
          <w:p w14:paraId="6AD2986F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金丁灿，11，副高，杭州景业智能科技股份有限公司；</w:t>
            </w:r>
          </w:p>
          <w:p w14:paraId="30CEDA17"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周文龙，12，无，杭州大数云智科技有限公司；</w:t>
            </w:r>
          </w:p>
          <w:p w14:paraId="06321EE9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倪宏宇，13，高级工程师，国网浙江省电力有限公司绍兴供电公司。</w:t>
            </w:r>
          </w:p>
        </w:tc>
      </w:tr>
      <w:tr w14:paraId="7D2D7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2269" w:type="dxa"/>
            <w:tcBorders>
              <w:right w:val="single" w:color="auto" w:sz="4" w:space="0"/>
            </w:tcBorders>
            <w:vAlign w:val="center"/>
          </w:tcPr>
          <w:p w14:paraId="556F05B8">
            <w:pPr>
              <w:spacing w:line="44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8"/>
                <w:szCs w:val="24"/>
              </w:rPr>
              <w:t>主要完成单位</w:t>
            </w:r>
          </w:p>
        </w:tc>
        <w:tc>
          <w:tcPr>
            <w:tcW w:w="6237" w:type="dxa"/>
            <w:tcBorders>
              <w:left w:val="single" w:color="auto" w:sz="4" w:space="0"/>
            </w:tcBorders>
            <w:vAlign w:val="center"/>
          </w:tcPr>
          <w:p w14:paraId="4780F78C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1. 浙江大学</w:t>
            </w:r>
          </w:p>
          <w:p w14:paraId="3BB1D9B2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 杭州景业智能科技股份有限公司</w:t>
            </w:r>
          </w:p>
          <w:p w14:paraId="632EBD69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3. 杭州大数云智科技有限公司</w:t>
            </w:r>
          </w:p>
          <w:p w14:paraId="1DECDB52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4. 诺力智能装备股份有限公司</w:t>
            </w:r>
          </w:p>
          <w:p w14:paraId="2042C40F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5. 浙江国利信安科技有限公司</w:t>
            </w:r>
          </w:p>
          <w:p w14:paraId="5CF0CC2F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6. 杭州电子科技大学</w:t>
            </w:r>
          </w:p>
          <w:p w14:paraId="4364636D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7. 浙江师范大学</w:t>
            </w:r>
          </w:p>
          <w:p w14:paraId="73CEBFFC"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8. 国网浙江省电力有限公司绍兴供电公司</w:t>
            </w:r>
          </w:p>
        </w:tc>
      </w:tr>
      <w:tr w14:paraId="0E9622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69" w:type="dxa"/>
            <w:vAlign w:val="center"/>
          </w:tcPr>
          <w:p w14:paraId="244DB33E">
            <w:pPr>
              <w:jc w:val="center"/>
              <w:rPr>
                <w:rStyle w:val="4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4"/>
                <w:rFonts w:eastAsia="仿宋_GB2312"/>
                <w:b w:val="0"/>
                <w:color w:val="auto"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 w14:paraId="219E3C10">
            <w:pPr>
              <w:contextualSpacing/>
              <w:jc w:val="center"/>
              <w:rPr>
                <w:rStyle w:val="4"/>
                <w:rFonts w:hint="eastAsia" w:eastAsia="宋体"/>
                <w:b w:val="0"/>
                <w:color w:val="auto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color w:val="auto"/>
                <w:lang w:val="en-US" w:eastAsia="zh-CN"/>
              </w:rPr>
              <w:t>浙江大学</w:t>
            </w:r>
          </w:p>
        </w:tc>
      </w:tr>
      <w:tr w14:paraId="1E43D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</w:trPr>
        <w:tc>
          <w:tcPr>
            <w:tcW w:w="2269" w:type="dxa"/>
            <w:vAlign w:val="center"/>
          </w:tcPr>
          <w:p w14:paraId="67989328">
            <w:pPr>
              <w:jc w:val="center"/>
              <w:rPr>
                <w:rStyle w:val="4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4"/>
                <w:rFonts w:eastAsia="仿宋_GB2312"/>
                <w:b w:val="0"/>
                <w:color w:val="auto"/>
                <w:sz w:val="28"/>
                <w:szCs w:val="28"/>
              </w:rPr>
              <w:t>提名意见</w:t>
            </w:r>
          </w:p>
        </w:tc>
        <w:tc>
          <w:tcPr>
            <w:tcW w:w="6237" w:type="dxa"/>
            <w:vAlign w:val="center"/>
          </w:tcPr>
          <w:p w14:paraId="42A73D3A">
            <w:pPr>
              <w:contextualSpacing/>
              <w:jc w:val="both"/>
              <w:rPr>
                <w:rStyle w:val="4"/>
                <w:rFonts w:hint="eastAsia" w:eastAsia="仿宋_GB2312"/>
                <w:b w:val="0"/>
                <w:color w:val="auto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项目围绕以核工业遥操作清理、万吨级分布式移船、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特种场景搬运</w:t>
            </w:r>
            <w:r>
              <w:rPr>
                <w:rFonts w:hint="eastAsia" w:eastAsia="仿宋_GB2312"/>
                <w:bCs/>
                <w:sz w:val="24"/>
                <w:szCs w:val="24"/>
              </w:rPr>
              <w:t>等场景为代表的特种作业机器人，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针对此类场景作业空间跨度大、目标及环境关联关系复杂、单体能力受限而群体协同需求强等特点，</w:t>
            </w:r>
            <w:r>
              <w:rPr>
                <w:rFonts w:hint="eastAsia" w:eastAsia="仿宋_GB2312"/>
                <w:bCs/>
                <w:sz w:val="24"/>
                <w:szCs w:val="24"/>
              </w:rPr>
              <w:t>突破了大跨度复杂场景全域感知与认知建模、复杂特种工况下实时具身规划与感规控一体化执行、复杂关联任务下多机器人协同规划与精准执行等关键技术。项目已获授权发明专利64件，参与制定国家标准4项，发表论文74篇。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项目研制的特种作业机器人具身智能感规控一体化系统，已在万吨级分布式移船、核工业遥操作机器人、重载智能搬运等场景实现产业化应用，支撑了万吨级船体毫米级精密对接、200台车辆总线协同控制、高危核环境遥操作清理等重大工程需求，形成了良好的经济和社会效益，具有广阔的推广应用前景。</w:t>
            </w:r>
          </w:p>
        </w:tc>
      </w:tr>
    </w:tbl>
    <w:p w14:paraId="295F05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F833E"/>
    <w:rsid w:val="1FF8E153"/>
    <w:rsid w:val="3249428E"/>
    <w:rsid w:val="39FF73F6"/>
    <w:rsid w:val="55DFE9A5"/>
    <w:rsid w:val="5D5F833E"/>
    <w:rsid w:val="79FF6C5C"/>
    <w:rsid w:val="7A587B47"/>
    <w:rsid w:val="7BBDEC57"/>
    <w:rsid w:val="F57F118A"/>
    <w:rsid w:val="FEDE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title1"/>
    <w:qFormat/>
    <w:uiPriority w:val="0"/>
    <w:rPr>
      <w:b/>
      <w:bCs/>
      <w:color w:val="9999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1191</Words>
  <Characters>1704</Characters>
  <Lines>0</Lines>
  <Paragraphs>0</Paragraphs>
  <TotalTime>0</TotalTime>
  <ScaleCrop>false</ScaleCrop>
  <LinksUpToDate>false</LinksUpToDate>
  <CharactersWithSpaces>1788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2026-05-29T16:39:00Z</dcterms:created>
  <dc:creator>camel</dc:creator>
  <cp:lastModifiedBy>候丽霞</cp:lastModifiedBy>
  <dcterms:modified xsi:type="dcterms:W3CDTF">2026-05-30T03:00:13Z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4DCFEE6995FB469DACF9AB08888C5640_13</vt:lpwstr>
  </property>
  <property fmtid="{D5CDD505-2E9C-101B-9397-08002B2CF9AE}" pid="4" name="KSOTemplateDocerSaveRecord">
    <vt:lpwstr>eyJoZGlkIjoiNTNlYzU2NDZlZWRhZGY1YzdjNGExMDUwNGJjODllMjkiLCJ1c2VySWQiOiIxNjY5OTU5MzU1In0=</vt:lpwstr>
  </property>
</Properties>
</file>