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640"/>
        <w:jc w:val="center"/>
        <w:rPr>
          <w:rFonts w:ascii="仿宋_GB2312" w:hAnsi="宋体" w:eastAsia="仿宋_GB2312" w:cs="宋体"/>
          <w:b/>
          <w:color w:val="333333"/>
          <w:sz w:val="44"/>
          <w:szCs w:val="44"/>
        </w:rPr>
      </w:pPr>
    </w:p>
    <w:p>
      <w:pPr>
        <w:spacing w:line="500" w:lineRule="exact"/>
        <w:ind w:firstLine="640"/>
        <w:jc w:val="center"/>
        <w:rPr>
          <w:rFonts w:hint="eastAsia" w:ascii="方正小标宋简体" w:hAnsi="宋体" w:eastAsia="方正小标宋简体" w:cs="宋体"/>
          <w:b/>
          <w:color w:val="333333"/>
          <w:sz w:val="44"/>
          <w:szCs w:val="44"/>
        </w:rPr>
      </w:pPr>
      <w:r>
        <w:rPr>
          <w:rFonts w:hint="eastAsia" w:ascii="方正小标宋简体" w:hAnsi="宋体" w:eastAsia="方正小标宋简体" w:cs="宋体"/>
          <w:b/>
          <w:color w:val="333333"/>
          <w:sz w:val="44"/>
          <w:szCs w:val="44"/>
        </w:rPr>
        <w:t>义乌市企业科技创新综合评价指标解读</w:t>
      </w:r>
    </w:p>
    <w:p>
      <w:pPr>
        <w:spacing w:line="500" w:lineRule="exact"/>
        <w:ind w:firstLine="640"/>
        <w:rPr>
          <w:rFonts w:ascii="仿宋_GB2312" w:hAnsi="宋体" w:eastAsia="仿宋_GB2312" w:cs="宋体"/>
          <w:color w:val="333333"/>
          <w:sz w:val="28"/>
          <w:szCs w:val="28"/>
        </w:rPr>
      </w:pPr>
    </w:p>
    <w:p>
      <w:pPr>
        <w:spacing w:line="500" w:lineRule="exact"/>
        <w:ind w:firstLine="640"/>
        <w:rPr>
          <w:rFonts w:ascii="黑体" w:hAnsi="黑体" w:eastAsia="黑体" w:cs="宋体"/>
          <w:color w:val="333333"/>
          <w:sz w:val="28"/>
          <w:szCs w:val="28"/>
        </w:rPr>
      </w:pPr>
      <w:r>
        <w:rPr>
          <w:rFonts w:hint="eastAsia" w:ascii="黑体" w:hAnsi="黑体" w:eastAsia="黑体" w:cs="宋体"/>
          <w:color w:val="333333"/>
          <w:sz w:val="28"/>
          <w:szCs w:val="28"/>
        </w:rPr>
        <w:t>一、研发投入指标</w:t>
      </w:r>
    </w:p>
    <w:p>
      <w:pPr>
        <w:spacing w:line="500" w:lineRule="exact"/>
        <w:ind w:firstLine="640"/>
        <w:rPr>
          <w:rFonts w:ascii="仿宋_GB2312" w:hAnsi="宋体" w:eastAsia="仿宋_GB2312" w:cs="宋体"/>
          <w:color w:val="333333"/>
          <w:sz w:val="28"/>
          <w:szCs w:val="28"/>
        </w:rPr>
      </w:pPr>
      <w:r>
        <w:rPr>
          <w:rFonts w:hint="eastAsia" w:ascii="仿宋_GB2312" w:hAnsi="宋体" w:eastAsia="仿宋_GB2312" w:cs="宋体"/>
          <w:color w:val="333333"/>
          <w:sz w:val="28"/>
          <w:szCs w:val="28"/>
        </w:rPr>
        <w:t>首先，企业研发投入评分是根据税务部门提供的汇算清缴后研发费用加计扣除优惠明细表确定的。所以，没有申报的企业，不能纳入评价。其次，企业研发投入评分是根据企业营业收入分档评价的，达不到基准分不得分，达不到比例要求，减半加分。一名话，投入强度不够的，得分就低，甚至会得</w:t>
      </w:r>
      <w:r>
        <w:rPr>
          <w:rFonts w:ascii="仿宋_GB2312" w:hAnsi="宋体" w:eastAsia="仿宋_GB2312" w:cs="宋体"/>
          <w:color w:val="333333"/>
          <w:sz w:val="28"/>
          <w:szCs w:val="28"/>
        </w:rPr>
        <w:t>0</w:t>
      </w:r>
      <w:r>
        <w:rPr>
          <w:rFonts w:hint="eastAsia" w:ascii="仿宋_GB2312" w:hAnsi="宋体" w:eastAsia="仿宋_GB2312" w:cs="宋体"/>
          <w:color w:val="333333"/>
          <w:sz w:val="28"/>
          <w:szCs w:val="28"/>
        </w:rPr>
        <w:t>分。</w:t>
      </w:r>
    </w:p>
    <w:p>
      <w:pPr>
        <w:spacing w:line="500" w:lineRule="exact"/>
        <w:ind w:firstLine="640"/>
        <w:rPr>
          <w:rFonts w:ascii="仿宋_GB2312" w:hAnsi="宋体" w:eastAsia="仿宋_GB2312" w:cs="宋体"/>
          <w:color w:val="333333"/>
          <w:sz w:val="28"/>
          <w:szCs w:val="28"/>
        </w:rPr>
      </w:pPr>
      <w:r>
        <w:rPr>
          <w:rFonts w:hint="eastAsia" w:ascii="仿宋_GB2312" w:hAnsi="宋体" w:eastAsia="仿宋_GB2312" w:cs="宋体"/>
          <w:color w:val="333333"/>
          <w:sz w:val="28"/>
          <w:szCs w:val="28"/>
        </w:rPr>
        <w:t>怎样才能得高分呢？一是必须向税务部门申请研发费用税前加计扣除；二是研发投入强度要达标，投入过高，得分也越高。</w:t>
      </w:r>
    </w:p>
    <w:p>
      <w:pPr>
        <w:spacing w:line="500" w:lineRule="exact"/>
        <w:ind w:firstLine="551" w:firstLineChars="196"/>
        <w:contextualSpacing/>
        <w:rPr>
          <w:rFonts w:ascii="仿宋_GB2312" w:hAnsi="仿宋" w:eastAsia="仿宋_GB2312" w:cs="Tahoma"/>
          <w:color w:val="000000"/>
          <w:sz w:val="28"/>
          <w:szCs w:val="28"/>
        </w:rPr>
      </w:pPr>
      <w:r>
        <w:rPr>
          <w:rFonts w:hint="eastAsia" w:ascii="仿宋_GB2312" w:hAnsi="仿宋" w:eastAsia="仿宋_GB2312" w:cs="Tahoma"/>
          <w:b/>
          <w:color w:val="000000"/>
          <w:sz w:val="28"/>
          <w:szCs w:val="28"/>
        </w:rPr>
        <w:t>加计扣除最新规定</w:t>
      </w:r>
      <w:r>
        <w:rPr>
          <w:rFonts w:hint="eastAsia" w:ascii="仿宋_GB2312" w:hAnsi="仿宋" w:eastAsia="仿宋_GB2312" w:cs="Tahoma"/>
          <w:color w:val="000000"/>
          <w:sz w:val="28"/>
          <w:szCs w:val="28"/>
        </w:rPr>
        <w:t>：财税【</w:t>
      </w:r>
      <w:r>
        <w:rPr>
          <w:rFonts w:ascii="仿宋_GB2312" w:hAnsi="仿宋" w:eastAsia="仿宋_GB2312" w:cs="Tahoma"/>
          <w:color w:val="000000"/>
          <w:sz w:val="28"/>
          <w:szCs w:val="28"/>
        </w:rPr>
        <w:t>2018</w:t>
      </w:r>
      <w:r>
        <w:rPr>
          <w:rFonts w:hint="eastAsia" w:ascii="仿宋_GB2312" w:hAnsi="仿宋" w:eastAsia="仿宋_GB2312" w:cs="Tahoma"/>
          <w:color w:val="000000"/>
          <w:sz w:val="28"/>
          <w:szCs w:val="28"/>
        </w:rPr>
        <w:t>】</w:t>
      </w:r>
      <w:r>
        <w:rPr>
          <w:rFonts w:ascii="仿宋_GB2312" w:hAnsi="仿宋" w:eastAsia="仿宋_GB2312" w:cs="Tahoma"/>
          <w:color w:val="000000"/>
          <w:sz w:val="28"/>
          <w:szCs w:val="28"/>
        </w:rPr>
        <w:t>99</w:t>
      </w:r>
      <w:r>
        <w:rPr>
          <w:rFonts w:hint="eastAsia" w:ascii="仿宋_GB2312" w:hAnsi="仿宋" w:eastAsia="仿宋_GB2312" w:cs="Tahoma"/>
          <w:color w:val="000000"/>
          <w:sz w:val="28"/>
          <w:szCs w:val="28"/>
        </w:rPr>
        <w:t>号文：自</w:t>
      </w:r>
      <w:r>
        <w:rPr>
          <w:rFonts w:ascii="仿宋_GB2312" w:hAnsi="仿宋" w:eastAsia="仿宋_GB2312" w:cs="Tahoma"/>
          <w:color w:val="000000"/>
          <w:sz w:val="28"/>
          <w:szCs w:val="28"/>
        </w:rPr>
        <w:t>2018</w:t>
      </w:r>
      <w:r>
        <w:rPr>
          <w:rFonts w:hint="eastAsia" w:ascii="仿宋_GB2312" w:hAnsi="仿宋" w:eastAsia="仿宋_GB2312" w:cs="Tahoma"/>
          <w:color w:val="000000"/>
          <w:sz w:val="28"/>
          <w:szCs w:val="28"/>
        </w:rPr>
        <w:t>年</w:t>
      </w:r>
      <w:r>
        <w:rPr>
          <w:rFonts w:ascii="仿宋_GB2312" w:hAnsi="仿宋" w:eastAsia="仿宋_GB2312" w:cs="Tahoma"/>
          <w:color w:val="000000"/>
          <w:sz w:val="28"/>
          <w:szCs w:val="28"/>
        </w:rPr>
        <w:t>1</w:t>
      </w:r>
      <w:r>
        <w:rPr>
          <w:rFonts w:hint="eastAsia" w:ascii="仿宋_GB2312" w:hAnsi="仿宋" w:eastAsia="仿宋_GB2312" w:cs="Tahoma"/>
          <w:color w:val="000000"/>
          <w:sz w:val="28"/>
          <w:szCs w:val="28"/>
        </w:rPr>
        <w:t>月</w:t>
      </w:r>
      <w:r>
        <w:rPr>
          <w:rFonts w:ascii="仿宋_GB2312" w:hAnsi="仿宋" w:eastAsia="仿宋_GB2312" w:cs="Tahoma"/>
          <w:color w:val="000000"/>
          <w:sz w:val="28"/>
          <w:szCs w:val="28"/>
        </w:rPr>
        <w:t>1</w:t>
      </w:r>
      <w:r>
        <w:rPr>
          <w:rFonts w:hint="eastAsia" w:ascii="仿宋_GB2312" w:hAnsi="仿宋" w:eastAsia="仿宋_GB2312" w:cs="Tahoma"/>
          <w:color w:val="000000"/>
          <w:sz w:val="28"/>
          <w:szCs w:val="28"/>
        </w:rPr>
        <w:t>日至</w:t>
      </w:r>
      <w:r>
        <w:rPr>
          <w:rFonts w:ascii="仿宋_GB2312" w:hAnsi="仿宋" w:eastAsia="仿宋_GB2312" w:cs="Tahoma"/>
          <w:color w:val="000000"/>
          <w:sz w:val="28"/>
          <w:szCs w:val="28"/>
        </w:rPr>
        <w:t>2020</w:t>
      </w:r>
      <w:r>
        <w:rPr>
          <w:rFonts w:hint="eastAsia" w:ascii="仿宋_GB2312" w:hAnsi="仿宋" w:eastAsia="仿宋_GB2312" w:cs="Tahoma"/>
          <w:color w:val="000000"/>
          <w:sz w:val="28"/>
          <w:szCs w:val="28"/>
        </w:rPr>
        <w:t>年</w:t>
      </w:r>
      <w:r>
        <w:rPr>
          <w:rFonts w:ascii="仿宋_GB2312" w:hAnsi="仿宋" w:eastAsia="仿宋_GB2312" w:cs="Tahoma"/>
          <w:color w:val="000000"/>
          <w:sz w:val="28"/>
          <w:szCs w:val="28"/>
        </w:rPr>
        <w:t>12</w:t>
      </w:r>
      <w:r>
        <w:rPr>
          <w:rFonts w:hint="eastAsia" w:ascii="仿宋_GB2312" w:hAnsi="仿宋" w:eastAsia="仿宋_GB2312" w:cs="Tahoma"/>
          <w:color w:val="000000"/>
          <w:sz w:val="28"/>
          <w:szCs w:val="28"/>
        </w:rPr>
        <w:t>月</w:t>
      </w:r>
      <w:r>
        <w:rPr>
          <w:rFonts w:ascii="仿宋_GB2312" w:hAnsi="仿宋" w:eastAsia="仿宋_GB2312" w:cs="Tahoma"/>
          <w:color w:val="000000"/>
          <w:sz w:val="28"/>
          <w:szCs w:val="28"/>
        </w:rPr>
        <w:t>31</w:t>
      </w:r>
      <w:r>
        <w:rPr>
          <w:rFonts w:hint="eastAsia" w:ascii="仿宋_GB2312" w:hAnsi="仿宋" w:eastAsia="仿宋_GB2312" w:cs="Tahoma"/>
          <w:color w:val="000000"/>
          <w:sz w:val="28"/>
          <w:szCs w:val="28"/>
        </w:rPr>
        <w:t>日，企业开展研发活动中实际发生的研发费用，未形成无形资产计入当期损益的，在按规定据实扣除的基础上，按照本年度实际发生额的</w:t>
      </w:r>
      <w:r>
        <w:rPr>
          <w:rFonts w:ascii="仿宋_GB2312" w:hAnsi="仿宋" w:eastAsia="仿宋_GB2312" w:cs="Tahoma"/>
          <w:color w:val="000000"/>
          <w:sz w:val="28"/>
          <w:szCs w:val="28"/>
        </w:rPr>
        <w:t>75%</w:t>
      </w:r>
      <w:r>
        <w:rPr>
          <w:rFonts w:hint="eastAsia" w:ascii="仿宋_GB2312" w:hAnsi="仿宋" w:eastAsia="仿宋_GB2312" w:cs="Tahoma"/>
          <w:color w:val="000000"/>
          <w:sz w:val="28"/>
          <w:szCs w:val="28"/>
        </w:rPr>
        <w:t>，从本年度应纳税所得额中扣除；形成无形资产的，按照无形资产成本的</w:t>
      </w:r>
      <w:r>
        <w:rPr>
          <w:rFonts w:ascii="仿宋_GB2312" w:hAnsi="仿宋" w:eastAsia="仿宋_GB2312" w:cs="Tahoma"/>
          <w:color w:val="000000"/>
          <w:sz w:val="28"/>
          <w:szCs w:val="28"/>
        </w:rPr>
        <w:t>175%</w:t>
      </w:r>
      <w:r>
        <w:rPr>
          <w:rFonts w:hint="eastAsia" w:ascii="仿宋_GB2312" w:hAnsi="仿宋" w:eastAsia="仿宋_GB2312" w:cs="Tahoma"/>
          <w:color w:val="000000"/>
          <w:sz w:val="28"/>
          <w:szCs w:val="28"/>
        </w:rPr>
        <w:t>在税前摊销。取消企业委托境外研发费用不得加计扣除的限制。</w:t>
      </w:r>
    </w:p>
    <w:p>
      <w:pPr>
        <w:spacing w:line="500" w:lineRule="exact"/>
        <w:ind w:firstLine="551" w:firstLineChars="196"/>
        <w:contextualSpacing/>
        <w:rPr>
          <w:rFonts w:ascii="仿宋_GB2312" w:eastAsia="仿宋_GB2312"/>
          <w:sz w:val="28"/>
          <w:szCs w:val="28"/>
        </w:rPr>
      </w:pPr>
      <w:r>
        <w:rPr>
          <w:rFonts w:hint="eastAsia" w:ascii="仿宋_GB2312" w:eastAsia="仿宋_GB2312"/>
          <w:b/>
          <w:bCs/>
          <w:sz w:val="28"/>
          <w:szCs w:val="28"/>
        </w:rPr>
        <w:t>国家税务总局公告</w:t>
      </w:r>
      <w:r>
        <w:rPr>
          <w:rFonts w:ascii="仿宋_GB2312" w:eastAsia="仿宋_GB2312"/>
          <w:b/>
          <w:bCs/>
          <w:sz w:val="28"/>
          <w:szCs w:val="28"/>
        </w:rPr>
        <w:t>2017</w:t>
      </w:r>
      <w:r>
        <w:rPr>
          <w:rFonts w:hint="eastAsia" w:ascii="仿宋_GB2312" w:eastAsia="仿宋_GB2312"/>
          <w:b/>
          <w:bCs/>
          <w:sz w:val="28"/>
          <w:szCs w:val="28"/>
        </w:rPr>
        <w:t>年第</w:t>
      </w:r>
      <w:r>
        <w:rPr>
          <w:rFonts w:ascii="仿宋_GB2312" w:eastAsia="仿宋_GB2312"/>
          <w:b/>
          <w:bCs/>
          <w:sz w:val="28"/>
          <w:szCs w:val="28"/>
        </w:rPr>
        <w:t>40</w:t>
      </w:r>
      <w:r>
        <w:rPr>
          <w:rFonts w:hint="eastAsia" w:ascii="仿宋_GB2312" w:eastAsia="仿宋_GB2312"/>
          <w:b/>
          <w:bCs/>
          <w:sz w:val="28"/>
          <w:szCs w:val="28"/>
        </w:rPr>
        <w:t>号（国家税务总局关于研发费用税前加计扣除归集范围有关问题的公告</w:t>
      </w:r>
      <w:r>
        <w:rPr>
          <w:rFonts w:hint="eastAsia" w:ascii="仿宋_GB2312" w:eastAsia="仿宋_GB2312"/>
          <w:sz w:val="28"/>
          <w:szCs w:val="28"/>
        </w:rPr>
        <w:t>）中规定了研发费用加计扣除归集范围，包括：</w:t>
      </w:r>
      <w:r>
        <w:rPr>
          <w:rFonts w:ascii="仿宋_GB2312" w:eastAsia="仿宋_GB2312"/>
          <w:sz w:val="28"/>
          <w:szCs w:val="28"/>
        </w:rPr>
        <w:t>1</w:t>
      </w:r>
      <w:r>
        <w:rPr>
          <w:rFonts w:hint="eastAsia" w:ascii="仿宋_GB2312" w:eastAsia="仿宋_GB2312"/>
          <w:sz w:val="28"/>
          <w:szCs w:val="28"/>
        </w:rPr>
        <w:t>、从事科技研发的人员人工费用；</w:t>
      </w:r>
      <w:r>
        <w:rPr>
          <w:rFonts w:ascii="仿宋_GB2312" w:eastAsia="仿宋_GB2312"/>
          <w:sz w:val="28"/>
          <w:szCs w:val="28"/>
        </w:rPr>
        <w:t>2</w:t>
      </w:r>
      <w:r>
        <w:rPr>
          <w:rFonts w:hint="eastAsia" w:ascii="仿宋_GB2312" w:eastAsia="仿宋_GB2312"/>
          <w:sz w:val="28"/>
          <w:szCs w:val="28"/>
        </w:rPr>
        <w:t>、直接消耗的材料、燃料和动力费用等直接投入费用；</w:t>
      </w:r>
      <w:r>
        <w:rPr>
          <w:rFonts w:ascii="仿宋_GB2312" w:eastAsia="仿宋_GB2312"/>
          <w:sz w:val="28"/>
          <w:szCs w:val="28"/>
        </w:rPr>
        <w:t>3</w:t>
      </w:r>
      <w:r>
        <w:rPr>
          <w:rFonts w:hint="eastAsia" w:ascii="仿宋_GB2312" w:eastAsia="仿宋_GB2312"/>
          <w:sz w:val="28"/>
          <w:szCs w:val="28"/>
        </w:rPr>
        <w:t>、研发活动的仪器、设备的折旧费折旧费用；</w:t>
      </w:r>
      <w:r>
        <w:rPr>
          <w:rFonts w:ascii="仿宋_GB2312" w:eastAsia="仿宋_GB2312"/>
          <w:sz w:val="28"/>
          <w:szCs w:val="28"/>
        </w:rPr>
        <w:t>4</w:t>
      </w:r>
      <w:r>
        <w:rPr>
          <w:rFonts w:hint="eastAsia" w:ascii="仿宋_GB2312" w:eastAsia="仿宋_GB2312"/>
          <w:sz w:val="28"/>
          <w:szCs w:val="28"/>
        </w:rPr>
        <w:t>、用于研发活动的软件、专利权、非专利技术（包括许可证、专有技术、设计和计算方法等）等无形资产的摊销费用</w:t>
      </w:r>
      <w:r>
        <w:rPr>
          <w:rFonts w:ascii="仿宋_GB2312" w:eastAsia="仿宋_GB2312"/>
          <w:sz w:val="28"/>
          <w:szCs w:val="28"/>
        </w:rPr>
        <w:t>5</w:t>
      </w:r>
      <w:r>
        <w:rPr>
          <w:rFonts w:hint="eastAsia" w:ascii="仿宋_GB2312" w:eastAsia="仿宋_GB2312"/>
          <w:sz w:val="28"/>
          <w:szCs w:val="28"/>
        </w:rPr>
        <w:t>、新产品设计费、新工艺规程制定费、新药研制的临床试验费、勘探开发技术的现场试验费</w:t>
      </w:r>
      <w:r>
        <w:rPr>
          <w:rFonts w:ascii="仿宋_GB2312" w:eastAsia="仿宋_GB2312"/>
          <w:sz w:val="28"/>
          <w:szCs w:val="28"/>
        </w:rPr>
        <w:t>6</w:t>
      </w:r>
      <w:r>
        <w:rPr>
          <w:rFonts w:hint="eastAsia" w:ascii="仿宋_GB2312" w:eastAsia="仿宋_GB2312"/>
          <w:sz w:val="28"/>
          <w:szCs w:val="28"/>
        </w:rPr>
        <w:t>、与研发活动相关的其他费用。</w:t>
      </w:r>
    </w:p>
    <w:p>
      <w:pPr>
        <w:spacing w:line="500" w:lineRule="exact"/>
        <w:ind w:firstLine="548" w:firstLineChars="196"/>
        <w:contextualSpacing/>
        <w:rPr>
          <w:rFonts w:ascii="仿宋_GB2312" w:hAnsi="宋体" w:eastAsia="仿宋_GB2312" w:cs="宋体"/>
          <w:color w:val="333333"/>
          <w:sz w:val="28"/>
          <w:szCs w:val="28"/>
        </w:rPr>
      </w:pPr>
      <w:r>
        <w:rPr>
          <w:rFonts w:hint="eastAsia" w:ascii="仿宋_GB2312" w:eastAsia="仿宋_GB2312"/>
          <w:sz w:val="28"/>
          <w:szCs w:val="28"/>
        </w:rPr>
        <w:t>具体可向税务局咨询，电话：</w:t>
      </w:r>
      <w:r>
        <w:rPr>
          <w:rFonts w:ascii="仿宋_GB2312" w:eastAsia="仿宋_GB2312"/>
          <w:sz w:val="28"/>
          <w:szCs w:val="28"/>
        </w:rPr>
        <w:t>89907050</w:t>
      </w:r>
      <w:r>
        <w:rPr>
          <w:rFonts w:hint="eastAsia" w:ascii="仿宋_GB2312" w:eastAsia="仿宋_GB2312"/>
          <w:sz w:val="28"/>
          <w:szCs w:val="28"/>
        </w:rPr>
        <w:t>。</w:t>
      </w:r>
    </w:p>
    <w:p>
      <w:pPr>
        <w:spacing w:line="500" w:lineRule="exact"/>
        <w:ind w:firstLine="640"/>
        <w:rPr>
          <w:rFonts w:ascii="黑体" w:hAnsi="黑体" w:eastAsia="黑体" w:cs="宋体"/>
          <w:color w:val="333333"/>
          <w:sz w:val="28"/>
          <w:szCs w:val="28"/>
        </w:rPr>
      </w:pPr>
      <w:r>
        <w:rPr>
          <w:rFonts w:hint="eastAsia" w:ascii="黑体" w:hAnsi="黑体" w:eastAsia="黑体" w:cs="宋体"/>
          <w:color w:val="333333"/>
          <w:sz w:val="28"/>
          <w:szCs w:val="28"/>
        </w:rPr>
        <w:t>二、知识产权指标</w:t>
      </w:r>
    </w:p>
    <w:p>
      <w:pPr>
        <w:spacing w:line="500" w:lineRule="exact"/>
        <w:ind w:firstLine="640"/>
        <w:rPr>
          <w:rFonts w:hint="eastAsia" w:ascii="仿宋_GB2312" w:hAnsi="宋体" w:eastAsia="仿宋_GB2312" w:cs="宋体"/>
          <w:color w:val="333333"/>
          <w:sz w:val="28"/>
          <w:szCs w:val="28"/>
        </w:rPr>
      </w:pPr>
      <w:r>
        <w:rPr>
          <w:rFonts w:hint="eastAsia" w:ascii="仿宋_GB2312" w:hAnsi="宋体" w:eastAsia="仿宋_GB2312" w:cs="宋体"/>
          <w:color w:val="333333"/>
          <w:sz w:val="28"/>
          <w:szCs w:val="28"/>
        </w:rPr>
        <w:t>知识产权包括：发明专利、植物新品种、国家级农作物品种、国家新药、国家一级中药保护品种，按数量计分。</w:t>
      </w:r>
    </w:p>
    <w:p>
      <w:pPr>
        <w:spacing w:line="500" w:lineRule="exact"/>
        <w:ind w:firstLine="640"/>
        <w:rPr>
          <w:rFonts w:ascii="仿宋_GB2312" w:eastAsia="仿宋_GB2312"/>
          <w:snapToGrid w:val="0"/>
          <w:spacing w:val="2"/>
          <w:sz w:val="28"/>
          <w:szCs w:val="28"/>
        </w:rPr>
      </w:pPr>
      <w:r>
        <w:rPr>
          <w:rFonts w:hint="eastAsia" w:ascii="仿宋_GB2312" w:hAnsi="宋体" w:eastAsia="仿宋_GB2312" w:cs="宋体"/>
          <w:color w:val="333333"/>
          <w:sz w:val="28"/>
          <w:szCs w:val="28"/>
        </w:rPr>
        <w:t>怎样才能得高分呢？一句话，努力拥有</w:t>
      </w:r>
      <w:r>
        <w:rPr>
          <w:rFonts w:hint="eastAsia" w:ascii="仿宋_GB2312" w:eastAsia="仿宋_GB2312"/>
          <w:snapToGrid w:val="0"/>
          <w:spacing w:val="2"/>
          <w:sz w:val="28"/>
          <w:szCs w:val="28"/>
        </w:rPr>
        <w:t>知识产权。可以自己申请，也可以向权利人去购买。具体可以向市场监管局知识产权管理科咨询，电话：</w:t>
      </w:r>
      <w:r>
        <w:rPr>
          <w:rFonts w:ascii="仿宋_GB2312" w:eastAsia="仿宋_GB2312"/>
          <w:snapToGrid w:val="0"/>
          <w:spacing w:val="2"/>
          <w:sz w:val="28"/>
          <w:szCs w:val="28"/>
        </w:rPr>
        <w:t>85528098</w:t>
      </w:r>
      <w:r>
        <w:rPr>
          <w:rFonts w:hint="eastAsia" w:ascii="仿宋_GB2312" w:eastAsia="仿宋_GB2312"/>
          <w:snapToGrid w:val="0"/>
          <w:spacing w:val="2"/>
          <w:sz w:val="28"/>
          <w:szCs w:val="28"/>
        </w:rPr>
        <w:t>。</w:t>
      </w:r>
    </w:p>
    <w:p>
      <w:pPr>
        <w:spacing w:line="500" w:lineRule="exact"/>
        <w:ind w:firstLine="640"/>
        <w:rPr>
          <w:rFonts w:ascii="黑体" w:hAnsi="黑体" w:eastAsia="黑体" w:cs="宋体"/>
          <w:color w:val="333333"/>
          <w:sz w:val="28"/>
          <w:szCs w:val="28"/>
        </w:rPr>
      </w:pPr>
      <w:r>
        <w:rPr>
          <w:rFonts w:hint="eastAsia" w:ascii="黑体" w:hAnsi="黑体" w:eastAsia="黑体" w:cs="宋体"/>
          <w:color w:val="333333"/>
          <w:sz w:val="28"/>
          <w:szCs w:val="28"/>
        </w:rPr>
        <w:t>三、科研能力指标</w:t>
      </w:r>
    </w:p>
    <w:p>
      <w:pPr>
        <w:pStyle w:val="4"/>
        <w:widowControl/>
        <w:spacing w:before="0" w:beforeAutospacing="0" w:after="0" w:afterAutospacing="0" w:line="500" w:lineRule="exact"/>
        <w:ind w:firstLine="645"/>
        <w:rPr>
          <w:rFonts w:ascii="仿宋_GB2312" w:hAnsi="宋体" w:eastAsia="仿宋_GB2312" w:cs="宋体"/>
          <w:color w:val="333333"/>
          <w:sz w:val="28"/>
          <w:szCs w:val="28"/>
        </w:rPr>
      </w:pPr>
      <w:r>
        <w:rPr>
          <w:rFonts w:hint="eastAsia" w:ascii="仿宋_GB2312" w:hAnsi="宋体" w:eastAsia="仿宋_GB2312" w:cs="宋体"/>
          <w:color w:val="333333"/>
          <w:sz w:val="28"/>
          <w:szCs w:val="28"/>
        </w:rPr>
        <w:t>根据企业获得认定的研发机构计分。获评国家技术中心、省级重点企业研究院或省级重点设计院的得</w:t>
      </w:r>
      <w:r>
        <w:rPr>
          <w:rFonts w:ascii="仿宋_GB2312" w:hAnsi="宋体" w:eastAsia="仿宋_GB2312" w:cs="宋体"/>
          <w:color w:val="333333"/>
          <w:sz w:val="28"/>
          <w:szCs w:val="28"/>
        </w:rPr>
        <w:t>10</w:t>
      </w:r>
      <w:r>
        <w:rPr>
          <w:rFonts w:hint="eastAsia" w:ascii="仿宋_GB2312" w:hAnsi="宋体" w:eastAsia="仿宋_GB2312" w:cs="宋体"/>
          <w:color w:val="333333"/>
          <w:sz w:val="28"/>
          <w:szCs w:val="28"/>
        </w:rPr>
        <w:t>分；获评省级企业研究院的得</w:t>
      </w:r>
      <w:r>
        <w:rPr>
          <w:rFonts w:ascii="仿宋_GB2312" w:hAnsi="宋体" w:eastAsia="仿宋_GB2312" w:cs="宋体"/>
          <w:color w:val="333333"/>
          <w:sz w:val="28"/>
          <w:szCs w:val="28"/>
        </w:rPr>
        <w:t>8</w:t>
      </w:r>
      <w:r>
        <w:rPr>
          <w:rFonts w:hint="eastAsia" w:ascii="仿宋_GB2312" w:hAnsi="宋体" w:eastAsia="仿宋_GB2312" w:cs="宋体"/>
          <w:color w:val="333333"/>
          <w:sz w:val="28"/>
          <w:szCs w:val="28"/>
        </w:rPr>
        <w:t>分；获评省级企业研发中心或技术中心的得</w:t>
      </w:r>
      <w:r>
        <w:rPr>
          <w:rFonts w:ascii="仿宋_GB2312" w:hAnsi="宋体" w:eastAsia="仿宋_GB2312" w:cs="宋体"/>
          <w:color w:val="333333"/>
          <w:sz w:val="28"/>
          <w:szCs w:val="28"/>
        </w:rPr>
        <w:t>6</w:t>
      </w:r>
      <w:r>
        <w:rPr>
          <w:rFonts w:hint="eastAsia" w:ascii="仿宋_GB2312" w:hAnsi="宋体" w:eastAsia="仿宋_GB2312" w:cs="宋体"/>
          <w:color w:val="333333"/>
          <w:sz w:val="28"/>
          <w:szCs w:val="28"/>
        </w:rPr>
        <w:t>分。获评市级企业研发中心的得</w:t>
      </w:r>
      <w:r>
        <w:rPr>
          <w:rFonts w:ascii="仿宋_GB2312" w:hAnsi="宋体" w:eastAsia="仿宋_GB2312" w:cs="宋体"/>
          <w:color w:val="333333"/>
          <w:sz w:val="28"/>
          <w:szCs w:val="28"/>
        </w:rPr>
        <w:t>5</w:t>
      </w:r>
      <w:r>
        <w:rPr>
          <w:rFonts w:hint="eastAsia" w:ascii="仿宋_GB2312" w:hAnsi="宋体" w:eastAsia="仿宋_GB2312" w:cs="宋体"/>
          <w:color w:val="333333"/>
          <w:sz w:val="28"/>
          <w:szCs w:val="28"/>
        </w:rPr>
        <w:t>分。企业注册不满三年，未获评上述研发机构的，最低得分</w:t>
      </w:r>
      <w:r>
        <w:rPr>
          <w:rFonts w:ascii="仿宋_GB2312" w:hAnsi="宋体" w:eastAsia="仿宋_GB2312" w:cs="宋体"/>
          <w:color w:val="333333"/>
          <w:sz w:val="28"/>
          <w:szCs w:val="28"/>
        </w:rPr>
        <w:t>5</w:t>
      </w:r>
      <w:r>
        <w:rPr>
          <w:rFonts w:hint="eastAsia" w:ascii="仿宋_GB2312" w:hAnsi="宋体" w:eastAsia="仿宋_GB2312" w:cs="宋体"/>
          <w:color w:val="333333"/>
          <w:sz w:val="28"/>
          <w:szCs w:val="28"/>
        </w:rPr>
        <w:t>分。</w:t>
      </w:r>
    </w:p>
    <w:p>
      <w:pPr>
        <w:pStyle w:val="4"/>
        <w:widowControl/>
        <w:spacing w:before="0" w:beforeAutospacing="0" w:after="0" w:afterAutospacing="0" w:line="500" w:lineRule="exact"/>
        <w:ind w:firstLine="560" w:firstLineChars="200"/>
        <w:rPr>
          <w:rFonts w:ascii="仿宋_GB2312" w:hAnsi="宋体" w:eastAsia="仿宋_GB2312" w:cs="宋体"/>
          <w:color w:val="333333"/>
          <w:sz w:val="28"/>
          <w:szCs w:val="28"/>
        </w:rPr>
      </w:pPr>
      <w:r>
        <w:rPr>
          <w:rFonts w:hint="eastAsia" w:ascii="仿宋_GB2312" w:hAnsi="宋体" w:eastAsia="仿宋_GB2312" w:cs="宋体"/>
          <w:color w:val="333333"/>
          <w:sz w:val="28"/>
          <w:szCs w:val="28"/>
        </w:rPr>
        <w:t>国家高新技术企业才有资格申报省级研发中心、省级研究院等。具体可向科技局</w:t>
      </w:r>
      <w:r>
        <w:rPr>
          <w:rFonts w:hint="eastAsia" w:ascii="仿宋_GB2312" w:hAnsi="宋体" w:eastAsia="仿宋_GB2312" w:cs="宋体"/>
          <w:color w:val="333333"/>
          <w:sz w:val="28"/>
          <w:szCs w:val="28"/>
          <w:lang w:eastAsia="zh-CN"/>
        </w:rPr>
        <w:t>高新技术与产业化科</w:t>
      </w:r>
      <w:r>
        <w:rPr>
          <w:rFonts w:hint="eastAsia" w:ascii="仿宋_GB2312" w:hAnsi="宋体" w:eastAsia="仿宋_GB2312" w:cs="宋体"/>
          <w:color w:val="333333"/>
          <w:sz w:val="28"/>
          <w:szCs w:val="28"/>
        </w:rPr>
        <w:t>咨询，电话：</w:t>
      </w:r>
      <w:r>
        <w:rPr>
          <w:rFonts w:ascii="仿宋_GB2312" w:hAnsi="宋体" w:eastAsia="仿宋_GB2312" w:cs="宋体"/>
          <w:color w:val="333333"/>
          <w:sz w:val="28"/>
          <w:szCs w:val="28"/>
        </w:rPr>
        <w:t>85</w:t>
      </w:r>
      <w:r>
        <w:rPr>
          <w:rFonts w:hint="eastAsia" w:ascii="仿宋_GB2312" w:hAnsi="宋体" w:eastAsia="仿宋_GB2312" w:cs="宋体"/>
          <w:color w:val="333333"/>
          <w:sz w:val="28"/>
          <w:szCs w:val="28"/>
          <w:lang w:val="en-US" w:eastAsia="zh-CN"/>
        </w:rPr>
        <w:t>315521</w:t>
      </w:r>
      <w:bookmarkStart w:id="0" w:name="_GoBack"/>
      <w:bookmarkEnd w:id="0"/>
      <w:r>
        <w:rPr>
          <w:rFonts w:hint="eastAsia" w:ascii="仿宋_GB2312" w:hAnsi="宋体" w:eastAsia="仿宋_GB2312" w:cs="宋体"/>
          <w:color w:val="333333"/>
          <w:sz w:val="28"/>
          <w:szCs w:val="28"/>
        </w:rPr>
        <w:t>。</w:t>
      </w:r>
    </w:p>
    <w:p>
      <w:pPr>
        <w:spacing w:line="500" w:lineRule="exact"/>
        <w:ind w:firstLine="640"/>
        <w:rPr>
          <w:rFonts w:ascii="仿宋_GB2312" w:hAnsi="宋体" w:eastAsia="仿宋_GB2312" w:cs="宋体"/>
          <w:color w:val="333333"/>
          <w:sz w:val="28"/>
          <w:szCs w:val="28"/>
        </w:rPr>
      </w:pPr>
      <w:r>
        <w:rPr>
          <w:rFonts w:hint="eastAsia" w:ascii="黑体" w:hAnsi="黑体" w:eastAsia="黑体" w:cs="宋体"/>
          <w:color w:val="333333"/>
          <w:sz w:val="28"/>
          <w:szCs w:val="28"/>
        </w:rPr>
        <w:t>四、参与标准制订</w:t>
      </w:r>
      <w:r>
        <w:rPr>
          <w:rFonts w:hint="eastAsia" w:ascii="仿宋_GB2312" w:eastAsia="仿宋_GB2312"/>
          <w:color w:val="000000"/>
          <w:sz w:val="28"/>
          <w:szCs w:val="28"/>
        </w:rPr>
        <w:t>，可向义乌市市场监管局标计科咨询，电话：</w:t>
      </w:r>
      <w:r>
        <w:rPr>
          <w:rFonts w:ascii="仿宋_GB2312" w:eastAsia="仿宋_GB2312"/>
          <w:color w:val="000000"/>
          <w:sz w:val="28"/>
          <w:szCs w:val="28"/>
        </w:rPr>
        <w:t>85300931</w:t>
      </w:r>
      <w:r>
        <w:rPr>
          <w:rFonts w:hint="eastAsia" w:ascii="仿宋_GB2312" w:eastAsia="仿宋_GB2312"/>
          <w:color w:val="000000"/>
          <w:sz w:val="28"/>
          <w:szCs w:val="28"/>
        </w:rPr>
        <w:t>。也可以访问全国标准信息公共服务平台</w:t>
      </w:r>
      <w:r>
        <w:rPr>
          <w:rFonts w:ascii="仿宋_GB2312" w:eastAsia="仿宋_GB2312"/>
          <w:color w:val="000000"/>
          <w:sz w:val="28"/>
          <w:szCs w:val="28"/>
        </w:rPr>
        <w:t xml:space="preserve">  </w:t>
      </w:r>
      <w:r>
        <w:fldChar w:fldCharType="begin"/>
      </w:r>
      <w:r>
        <w:instrText xml:space="preserve"> HYPERLINK "http://www.std.gov.cn/" </w:instrText>
      </w:r>
      <w:r>
        <w:fldChar w:fldCharType="separate"/>
      </w:r>
      <w:r>
        <w:rPr>
          <w:rStyle w:val="8"/>
          <w:rFonts w:ascii="仿宋_GB2312" w:eastAsia="仿宋_GB2312"/>
          <w:sz w:val="28"/>
          <w:szCs w:val="28"/>
        </w:rPr>
        <w:t>http://www.std.gov.cn/</w:t>
      </w:r>
      <w:r>
        <w:rPr>
          <w:rStyle w:val="8"/>
          <w:rFonts w:ascii="仿宋_GB2312" w:eastAsia="仿宋_GB2312"/>
          <w:sz w:val="28"/>
          <w:szCs w:val="28"/>
        </w:rPr>
        <w:fldChar w:fldCharType="end"/>
      </w:r>
      <w:r>
        <w:rPr>
          <w:rFonts w:hint="eastAsia" w:ascii="仿宋_GB2312" w:eastAsia="仿宋_GB2312"/>
          <w:color w:val="000000"/>
          <w:sz w:val="28"/>
          <w:szCs w:val="28"/>
        </w:rPr>
        <w:t>了解情况。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3BB1624"/>
    <w:rsid w:val="00035D65"/>
    <w:rsid w:val="00041395"/>
    <w:rsid w:val="00043724"/>
    <w:rsid w:val="000B1E62"/>
    <w:rsid w:val="000C19BF"/>
    <w:rsid w:val="00236B93"/>
    <w:rsid w:val="00310D3A"/>
    <w:rsid w:val="00322A1C"/>
    <w:rsid w:val="00374BEB"/>
    <w:rsid w:val="00396382"/>
    <w:rsid w:val="003E13A5"/>
    <w:rsid w:val="004020CC"/>
    <w:rsid w:val="00423DF0"/>
    <w:rsid w:val="004C5079"/>
    <w:rsid w:val="005651B0"/>
    <w:rsid w:val="005D700D"/>
    <w:rsid w:val="005F6344"/>
    <w:rsid w:val="00617A94"/>
    <w:rsid w:val="006B340B"/>
    <w:rsid w:val="007A14D7"/>
    <w:rsid w:val="007F0868"/>
    <w:rsid w:val="00874828"/>
    <w:rsid w:val="008D593E"/>
    <w:rsid w:val="009778BA"/>
    <w:rsid w:val="00A4232A"/>
    <w:rsid w:val="00A7015D"/>
    <w:rsid w:val="00B164F0"/>
    <w:rsid w:val="00BD33A9"/>
    <w:rsid w:val="00BD527E"/>
    <w:rsid w:val="00BD7DF5"/>
    <w:rsid w:val="00D25961"/>
    <w:rsid w:val="00D2728B"/>
    <w:rsid w:val="00D543B3"/>
    <w:rsid w:val="00DA04CF"/>
    <w:rsid w:val="00DB1A92"/>
    <w:rsid w:val="00DF2FA5"/>
    <w:rsid w:val="00E0692B"/>
    <w:rsid w:val="00E265D3"/>
    <w:rsid w:val="00E450D7"/>
    <w:rsid w:val="00EA27B4"/>
    <w:rsid w:val="00EC17F3"/>
    <w:rsid w:val="00FD3FD7"/>
    <w:rsid w:val="33BB1624"/>
    <w:rsid w:val="5A0E62DF"/>
    <w:rsid w:val="5AFB0C87"/>
    <w:rsid w:val="6D5350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100" w:beforeAutospacing="1" w:after="100" w:afterAutospacing="1"/>
      <w:jc w:val="left"/>
    </w:pPr>
    <w:rPr>
      <w:kern w:val="0"/>
      <w:sz w:val="24"/>
    </w:rPr>
  </w:style>
  <w:style w:type="character" w:styleId="7">
    <w:name w:val="page number"/>
    <w:uiPriority w:val="99"/>
    <w:rPr>
      <w:rFonts w:cs="Times New Roman"/>
    </w:rPr>
  </w:style>
  <w:style w:type="character" w:styleId="8">
    <w:name w:val="Hyperlink"/>
    <w:uiPriority w:val="99"/>
    <w:rPr>
      <w:rFonts w:cs="Times New Roman"/>
      <w:color w:val="0000FF"/>
      <w:u w:val="single"/>
    </w:rPr>
  </w:style>
  <w:style w:type="character" w:customStyle="1" w:styleId="9">
    <w:name w:val="页眉 Char"/>
    <w:link w:val="3"/>
    <w:semiHidden/>
    <w:locked/>
    <w:uiPriority w:val="99"/>
    <w:rPr>
      <w:rFonts w:ascii="Calibri" w:hAnsi="Calibri" w:cs="Times New Roman"/>
      <w:sz w:val="18"/>
      <w:szCs w:val="18"/>
    </w:rPr>
  </w:style>
  <w:style w:type="character" w:customStyle="1" w:styleId="10">
    <w:name w:val="页脚 Char"/>
    <w:link w:val="2"/>
    <w:semiHidden/>
    <w:qFormat/>
    <w:locked/>
    <w:uiPriority w:val="99"/>
    <w:rPr>
      <w:rFonts w:ascii="Calibri" w:hAnsi="Calibri" w:cs="Times New Roman"/>
      <w:sz w:val="18"/>
      <w:szCs w:val="18"/>
    </w:rPr>
  </w:style>
  <w:style w:type="paragraph" w:customStyle="1" w:styleId="11">
    <w:name w:val="Char1"/>
    <w:basedOn w:val="1"/>
    <w:qFormat/>
    <w:uiPriority w:val="99"/>
    <w:rPr>
      <w:rFonts w:ascii="仿宋_GB2312" w:hAnsi="Times New Roman" w:eastAsia="仿宋_GB2312"/>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164</Words>
  <Characters>936</Characters>
  <Lines>7</Lines>
  <Paragraphs>2</Paragraphs>
  <TotalTime>104</TotalTime>
  <ScaleCrop>false</ScaleCrop>
  <LinksUpToDate>false</LinksUpToDate>
  <CharactersWithSpaces>1098</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2018-10-30T04:08:00Z</dcterms:created>
  <dc:creator>金牛1398758139</dc:creator>
  <cp:lastModifiedBy>Administrator</cp:lastModifiedBy>
  <dcterms:modified xsi:type="dcterms:W3CDTF">2019-09-09T01:28:21Z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